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1A6A3" w14:textId="20F3DA02" w:rsidR="003F0257" w:rsidRDefault="003F0257"/>
    <w:p w14:paraId="6D188553" w14:textId="522B60DB" w:rsidR="003F0257" w:rsidRPr="00B0219A" w:rsidRDefault="003F0257" w:rsidP="00B0219A">
      <w:pPr>
        <w:jc w:val="center"/>
        <w:rPr>
          <w:b/>
          <w:bCs/>
        </w:rPr>
      </w:pPr>
      <w:r w:rsidRPr="00B0219A">
        <w:rPr>
          <w:b/>
          <w:bCs/>
        </w:rPr>
        <w:t>Processos Conexos</w:t>
      </w:r>
    </w:p>
    <w:p w14:paraId="6F425459" w14:textId="77777777" w:rsidR="003F0257" w:rsidRDefault="003F0257"/>
    <w:p w14:paraId="5B3B2F57" w14:textId="1842340A" w:rsidR="003F0257" w:rsidRDefault="003F0257" w:rsidP="007B2225">
      <w:pPr>
        <w:jc w:val="both"/>
      </w:pPr>
      <w:r w:rsidRPr="00B0219A">
        <w:rPr>
          <w:b/>
          <w:bCs/>
        </w:rPr>
        <w:t>TC 011.339/2022-5</w:t>
      </w:r>
      <w:r>
        <w:t xml:space="preserve"> – Representação acerca de possível fraude na contratação de empréstimo consignado. Representação não conhecida. Acórdão 476/2023-Plenário, da relatoria do Ministro Aroldo Cedraz. Processo encerrado.</w:t>
      </w:r>
    </w:p>
    <w:p w14:paraId="526B007A" w14:textId="77777777" w:rsidR="003F0257" w:rsidRDefault="003F0257" w:rsidP="007B2225">
      <w:pPr>
        <w:jc w:val="both"/>
      </w:pPr>
    </w:p>
    <w:p w14:paraId="4B207D2B" w14:textId="011F2E50" w:rsidR="003F0257" w:rsidRDefault="003F0257" w:rsidP="007B2225">
      <w:pPr>
        <w:jc w:val="both"/>
      </w:pPr>
      <w:r w:rsidRPr="00B0219A">
        <w:rPr>
          <w:b/>
          <w:bCs/>
        </w:rPr>
        <w:t>TC 032.069/2023-5</w:t>
      </w:r>
      <w:r>
        <w:t xml:space="preserve"> – Solicitação do Congresso Nacional. </w:t>
      </w:r>
      <w:r w:rsidR="00B0219A">
        <w:t>S</w:t>
      </w:r>
      <w:r w:rsidRPr="003F0257">
        <w:t>olicita informações ao TCU para ' apuração de irregularidade no âmbito do INSS, entidades sindicais, associativas e instituições bancárias, com descontos indevidos nos proventos de aposentadoria de milhões de aposentados'.</w:t>
      </w:r>
      <w:r w:rsidR="00B0219A">
        <w:t xml:space="preserve"> Relatoria do Ministro Aroldo Cedraz. </w:t>
      </w:r>
      <w:r w:rsidR="00907F6A">
        <w:t xml:space="preserve">Acórdão </w:t>
      </w:r>
      <w:r w:rsidR="002530D6">
        <w:t xml:space="preserve">241/2024-Plenário, da relatoria do Ministro Aroldo Cedraz. </w:t>
      </w:r>
      <w:r w:rsidR="00B0219A">
        <w:t>Em aberto</w:t>
      </w:r>
      <w:r w:rsidR="007B2225">
        <w:t>.</w:t>
      </w:r>
    </w:p>
    <w:sectPr w:rsidR="003F0257" w:rsidSect="003F0257">
      <w:headerReference w:type="default" r:id="rId9"/>
      <w:footerReference w:type="default" r:id="rId10"/>
      <w:pgSz w:w="11906" w:h="16838"/>
      <w:pgMar w:top="1871" w:right="851" w:bottom="765" w:left="1418" w:header="851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DC0DA" w14:textId="77777777" w:rsidR="006B687E" w:rsidRDefault="006B687E" w:rsidP="003F0257">
      <w:pPr>
        <w:spacing w:after="0" w:line="240" w:lineRule="auto"/>
      </w:pPr>
      <w:r>
        <w:separator/>
      </w:r>
    </w:p>
  </w:endnote>
  <w:endnote w:type="continuationSeparator" w:id="0">
    <w:p w14:paraId="58168E1B" w14:textId="77777777" w:rsidR="006B687E" w:rsidRDefault="006B687E" w:rsidP="003F0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F3F83" w14:textId="022C51D4" w:rsidR="003F0257" w:rsidRPr="003F0257" w:rsidRDefault="003F0257" w:rsidP="003F0257">
    <w:pPr>
      <w:pStyle w:val="Rodap"/>
      <w:tabs>
        <w:tab w:val="clear" w:pos="4252"/>
        <w:tab w:val="clear" w:pos="8504"/>
        <w:tab w:val="right" w:pos="9638"/>
      </w:tabs>
      <w:rPr>
        <w:rFonts w:ascii="Times New Roman" w:hAnsi="Times New Roman" w:cs="Times New Roman"/>
        <w:sz w:val="12"/>
      </w:rPr>
    </w:pPr>
    <w:r>
      <w:rPr>
        <w:rFonts w:ascii="Times New Roman" w:hAnsi="Times New Roman" w:cs="Times New Roman"/>
        <w:noProof/>
        <w:sz w:val="12"/>
      </w:rPr>
      <mc:AlternateContent>
        <mc:Choice Requires="wps">
          <w:drawing>
            <wp:anchor distT="6350" distB="6350" distL="114300" distR="114300" simplePos="0" relativeHeight="251661312" behindDoc="0" locked="0" layoutInCell="1" allowOverlap="1" wp14:anchorId="794BD1A2" wp14:editId="285A071B">
              <wp:simplePos x="0" y="0"/>
              <wp:positionH relativeFrom="margin">
                <wp:posOffset>0</wp:posOffset>
              </wp:positionH>
              <wp:positionV relativeFrom="paragraph">
                <wp:posOffset>-50165</wp:posOffset>
              </wp:positionV>
              <wp:extent cx="6120000" cy="0"/>
              <wp:effectExtent l="0" t="0" r="0" b="0"/>
              <wp:wrapNone/>
              <wp:docPr id="1771102805" name="LinhaRodap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FE9685" id="LinhaRodape" o:spid="_x0000_s1026" style="position:absolute;z-index:251661312;visibility:visible;mso-wrap-style:square;mso-width-percent:0;mso-wrap-distance-left:9pt;mso-wrap-distance-top:.5pt;mso-wrap-distance-right:9pt;mso-wrap-distance-bottom:.5pt;mso-position-horizontal:absolute;mso-position-horizontal-relative:margin;mso-position-vertical:absolute;mso-position-vertical-relative:text;mso-width-percent:0;mso-width-relative:margin" from="0,-3.95pt" to="481.9pt,-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" strokecolor="#4472c4 [3204]">
              <v:stroke joinstyle="miter"/>
              <w10:wrap anchorx="margin"/>
            </v:line>
          </w:pict>
        </mc:Fallback>
      </mc:AlternateContent>
    </w:r>
    <w:proofErr w:type="spellStart"/>
    <w:r>
      <w:rPr>
        <w:rFonts w:ascii="Times New Roman" w:hAnsi="Times New Roman" w:cs="Times New Roman"/>
        <w:sz w:val="12"/>
      </w:rPr>
      <w:t>SisDoc</w:t>
    </w:r>
    <w:proofErr w:type="spellEnd"/>
    <w:r>
      <w:rPr>
        <w:rFonts w:ascii="Times New Roman" w:hAnsi="Times New Roman" w:cs="Times New Roman"/>
        <w:sz w:val="12"/>
      </w:rPr>
      <w:t>: Documento1 - 2023 - AudBenefícios</w:t>
    </w:r>
    <w:r>
      <w:rPr>
        <w:rFonts w:ascii="Times New Roman" w:hAnsi="Times New Roman" w:cs="Times New Roman"/>
        <w:sz w:val="12"/>
      </w:rPr>
      <w:tab/>
    </w:r>
    <w:r>
      <w:rPr>
        <w:rFonts w:ascii="Times New Roman" w:hAnsi="Times New Roman" w:cs="Times New Roman"/>
        <w:sz w:val="12"/>
      </w:rPr>
      <w:fldChar w:fldCharType="begin"/>
    </w:r>
    <w:r>
      <w:rPr>
        <w:rFonts w:ascii="Times New Roman" w:hAnsi="Times New Roman" w:cs="Times New Roman"/>
        <w:sz w:val="12"/>
      </w:rPr>
      <w:instrText xml:space="preserve"> PAGE  \* MERGEFORMAT </w:instrText>
    </w:r>
    <w:r>
      <w:rPr>
        <w:rFonts w:ascii="Times New Roman" w:hAnsi="Times New Roman" w:cs="Times New Roman"/>
        <w:sz w:val="12"/>
      </w:rPr>
      <w:fldChar w:fldCharType="separate"/>
    </w:r>
    <w:r>
      <w:rPr>
        <w:rFonts w:ascii="Times New Roman" w:hAnsi="Times New Roman" w:cs="Times New Roman"/>
        <w:noProof/>
        <w:sz w:val="12"/>
      </w:rPr>
      <w:t>1</w:t>
    </w:r>
    <w:r>
      <w:rPr>
        <w:rFonts w:ascii="Times New Roman" w:hAnsi="Times New Roman" w:cs="Times New Roman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14B6C" w14:textId="77777777" w:rsidR="006B687E" w:rsidRDefault="006B687E" w:rsidP="003F0257">
      <w:pPr>
        <w:spacing w:after="0" w:line="240" w:lineRule="auto"/>
      </w:pPr>
      <w:r>
        <w:separator/>
      </w:r>
    </w:p>
  </w:footnote>
  <w:footnote w:type="continuationSeparator" w:id="0">
    <w:p w14:paraId="3D8CE541" w14:textId="77777777" w:rsidR="006B687E" w:rsidRDefault="006B687E" w:rsidP="003F0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CABF2" w14:textId="43155CEE" w:rsidR="003F0257" w:rsidRPr="003F0257" w:rsidRDefault="003F0257" w:rsidP="003F0257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6E0B45" wp14:editId="001DB08D">
              <wp:simplePos x="0" y="0"/>
              <wp:positionH relativeFrom="margin">
                <wp:posOffset>4445</wp:posOffset>
              </wp:positionH>
              <wp:positionV relativeFrom="paragraph">
                <wp:posOffset>574041</wp:posOffset>
              </wp:positionV>
              <wp:extent cx="6229350" cy="0"/>
              <wp:effectExtent l="0" t="0" r="0" b="0"/>
              <wp:wrapNone/>
              <wp:docPr id="385659021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DCA84E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35pt,45.2pt" to="490.85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" strokecolor="#4472c4 [3204]">
              <v:stroke joinstyle="miter"/>
              <w10:wrap anchorx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0CF4CDF5" wp14:editId="2D05E4F4">
          <wp:simplePos x="0" y="0"/>
          <wp:positionH relativeFrom="column">
            <wp:posOffset>-66675</wp:posOffset>
          </wp:positionH>
          <wp:positionV relativeFrom="paragraph">
            <wp:posOffset>-104775</wp:posOffset>
          </wp:positionV>
          <wp:extent cx="542925" cy="542925"/>
          <wp:effectExtent l="0" t="0" r="9525" b="9525"/>
          <wp:wrapNone/>
          <wp:docPr id="162836965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36965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925" cy="5429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6EB48A" wp14:editId="38BA9009">
              <wp:simplePos x="0" y="0"/>
              <wp:positionH relativeFrom="margin">
                <wp:posOffset>547371</wp:posOffset>
              </wp:positionH>
              <wp:positionV relativeFrom="page">
                <wp:posOffset>381000</wp:posOffset>
              </wp:positionV>
              <wp:extent cx="5886450" cy="702945"/>
              <wp:effectExtent l="0" t="0" r="0" b="1905"/>
              <wp:wrapNone/>
              <wp:docPr id="116451249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86450" cy="7029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4E3FAB" w14:textId="77777777" w:rsidR="003F0257" w:rsidRDefault="003F0257" w:rsidP="003F0257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kern w:val="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kern w:val="0"/>
                              <w:sz w:val="20"/>
                            </w:rPr>
                            <w:t>TRIBUNAL DE CONTAS DA UNIÃO</w:t>
                          </w:r>
                        </w:p>
                        <w:p w14:paraId="4B5768A2" w14:textId="77777777" w:rsidR="003F0257" w:rsidRDefault="003F0257" w:rsidP="003F0257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kern w:val="0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kern w:val="0"/>
                              <w:sz w:val="20"/>
                            </w:rPr>
                            <w:t>Secretaria-Geral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kern w:val="0"/>
                              <w:sz w:val="20"/>
                            </w:rPr>
                            <w:t xml:space="preserve"> de Controle Externo</w:t>
                          </w:r>
                        </w:p>
                        <w:p w14:paraId="1B39E48F" w14:textId="77777777" w:rsidR="003F0257" w:rsidRDefault="003F0257" w:rsidP="003F0257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kern w:val="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kern w:val="0"/>
                              <w:sz w:val="20"/>
                            </w:rPr>
                            <w:t xml:space="preserve">Secretaria de Controle Externo de Contas Públicas </w:t>
                          </w:r>
                        </w:p>
                        <w:p w14:paraId="306DB1B0" w14:textId="5F45FE4E" w:rsidR="003F0257" w:rsidRPr="003F0257" w:rsidRDefault="003F0257" w:rsidP="003F0257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kern w:val="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kern w:val="0"/>
                              <w:sz w:val="20"/>
                            </w:rPr>
                            <w:t>Unidade de Auditoria Especializada em Previdência, Assistência e Trabalho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35941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6EB48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43.1pt;margin-top:30pt;width:463.5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" filled="f" stroked="f" strokeweight=".5pt">
              <v:fill o:detectmouseclick="t"/>
              <v:textbox inset=",2.83pt">
                <w:txbxContent>
                  <w:p w14:paraId="194E3FAB" w14:textId="77777777" w:rsidR="003F0257" w:rsidRDefault="003F0257" w:rsidP="003F0257">
                    <w:pPr>
                      <w:spacing w:after="0" w:line="240" w:lineRule="auto"/>
                      <w:rPr>
                        <w:rFonts w:ascii="Arial" w:hAnsi="Arial" w:cs="Arial"/>
                        <w:b/>
                        <w:kern w:val="0"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kern w:val="0"/>
                        <w:sz w:val="20"/>
                      </w:rPr>
                      <w:t>TRIBUNAL DE CONTAS DA UNIÃO</w:t>
                    </w:r>
                  </w:p>
                  <w:p w14:paraId="4B5768A2" w14:textId="77777777" w:rsidR="003F0257" w:rsidRDefault="003F0257" w:rsidP="003F0257">
                    <w:pPr>
                      <w:spacing w:after="0" w:line="240" w:lineRule="auto"/>
                      <w:rPr>
                        <w:rFonts w:ascii="Arial" w:hAnsi="Arial" w:cs="Arial"/>
                        <w:b/>
                        <w:kern w:val="0"/>
                        <w:sz w:val="20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b/>
                        <w:kern w:val="0"/>
                        <w:sz w:val="20"/>
                      </w:rPr>
                      <w:t>Secretaria-Geral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kern w:val="0"/>
                        <w:sz w:val="20"/>
                      </w:rPr>
                      <w:t xml:space="preserve"> de Controle Externo</w:t>
                    </w:r>
                  </w:p>
                  <w:p w14:paraId="1B39E48F" w14:textId="77777777" w:rsidR="003F0257" w:rsidRDefault="003F0257" w:rsidP="003F0257">
                    <w:pPr>
                      <w:spacing w:after="0" w:line="240" w:lineRule="auto"/>
                      <w:rPr>
                        <w:rFonts w:ascii="Arial" w:hAnsi="Arial" w:cs="Arial"/>
                        <w:b/>
                        <w:kern w:val="0"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kern w:val="0"/>
                        <w:sz w:val="20"/>
                      </w:rPr>
                      <w:t xml:space="preserve">Secretaria de Controle Externo de Contas Públicas </w:t>
                    </w:r>
                  </w:p>
                  <w:p w14:paraId="306DB1B0" w14:textId="5F45FE4E" w:rsidR="003F0257" w:rsidRPr="003F0257" w:rsidRDefault="003F0257" w:rsidP="003F0257">
                    <w:pPr>
                      <w:spacing w:after="0" w:line="240" w:lineRule="auto"/>
                      <w:rPr>
                        <w:rFonts w:ascii="Arial" w:hAnsi="Arial" w:cs="Arial"/>
                        <w:b/>
                        <w:kern w:val="0"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kern w:val="0"/>
                        <w:sz w:val="20"/>
                      </w:rPr>
                      <w:t>Unidade de Auditoria Especializada em Previdência, Assistência e Trabalho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257"/>
    <w:rsid w:val="002530D6"/>
    <w:rsid w:val="003F0257"/>
    <w:rsid w:val="006B687E"/>
    <w:rsid w:val="007B2225"/>
    <w:rsid w:val="00907F6A"/>
    <w:rsid w:val="00B0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22E03"/>
  <w15:chartTrackingRefBased/>
  <w15:docId w15:val="{370FEDEA-F2B3-49F7-AB96-65336F68C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F02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0257"/>
  </w:style>
  <w:style w:type="paragraph" w:styleId="Rodap">
    <w:name w:val="footer"/>
    <w:basedOn w:val="Normal"/>
    <w:link w:val="RodapChar"/>
    <w:uiPriority w:val="99"/>
    <w:unhideWhenUsed/>
    <w:rsid w:val="003F02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0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78C11874FC1E459972AD9F775A86DA" ma:contentTypeVersion="0" ma:contentTypeDescription="Crie um novo documento." ma:contentTypeScope="" ma:versionID="9d5b71393a9e85b7487b86713cce35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8C09C7-C9B7-40C2-9AE9-1812D430EE0C}">
  <ds:schemaRefs>
    <ds:schemaRef ds:uri="http://schemas.microsoft.com/office/2006/metadata/properties"/>
    <ds:schemaRef ds:uri="http://schemas.microsoft.com/office/infopath/2007/PartnerControls"/>
    <ds:schemaRef ds:uri="0242f7e5-6288-4d96-be10-03fccff26bc7"/>
    <ds:schemaRef ds:uri="0d18d4aa-51b8-4744-8bd8-92ac880c8a0a"/>
  </ds:schemaRefs>
</ds:datastoreItem>
</file>

<file path=customXml/itemProps2.xml><?xml version="1.0" encoding="utf-8"?>
<ds:datastoreItem xmlns:ds="http://schemas.openxmlformats.org/officeDocument/2006/customXml" ds:itemID="{60EF145C-F326-4BA4-99F7-F4170E6A20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C9B207-EE52-4E4E-9406-37E4737389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TCU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 de Oliveira Costa</dc:creator>
  <cp:keywords/>
  <dc:description/>
  <cp:lastModifiedBy>Pietro de Oliveira Costa</cp:lastModifiedBy>
  <cp:revision>5</cp:revision>
  <dcterms:created xsi:type="dcterms:W3CDTF">2023-11-16T18:54:00Z</dcterms:created>
  <dcterms:modified xsi:type="dcterms:W3CDTF">2024-03-11T13:47:00Z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0x0101000F78C11874FC1E459972AD9F775A86DA</vt:lpwstr>
  </property>
  <property fmtid="{D5CDD505-2E9C-101B-9397-08002B2CF9AE}" pid="3" name="MediaServiceImageTags">
    <vt:lpwstr/>
  </property>
</Properties>
</file>